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A6" w:rsidRDefault="004C33A6" w:rsidP="004C33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Jaco</w:t>
      </w:r>
      <w:proofErr w:type="spellEnd"/>
      <w:r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Zandberg</w:t>
      </w:r>
      <w:bookmarkStart w:id="0" w:name="_GoBack"/>
      <w:bookmarkEnd w:id="0"/>
      <w:proofErr w:type="spellEnd"/>
    </w:p>
    <w:p w:rsidR="004C33A6" w:rsidRPr="004C33A6" w:rsidRDefault="004C33A6" w:rsidP="004C33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 w:rsidRPr="004C33A6"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Biography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I am an accomplished molecular microbiologist with significant experience in multiple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bioinformatic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, molecular, genetic engineering and plant-based projects in the medical and agriculture fields, including: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proofErr w:type="gram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1.Identifying</w:t>
      </w:r>
      <w:proofErr w:type="gram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frost sensitivity of cereals in Western Australia caused by ice nucleation bacteria for the Council of Grain Grower Organisation Limited (COGGO) and Department of Primary Industry and Rural Development (DPIRD)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proofErr w:type="gram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2.The</w:t>
      </w:r>
      <w:proofErr w:type="gram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genotyping and phenotyping of microbial organisms (</w:t>
      </w:r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Pseudomonas sp., Bacillus sp., Salmonella sp., </w:t>
      </w:r>
      <w:proofErr w:type="spellStart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Klebsiella</w:t>
      </w:r>
      <w:proofErr w:type="spellEnd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 sp.</w:t>
      </w: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 and </w:t>
      </w:r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E. coli</w:t>
      </w: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) isolated from field sites and pastures for the Antimicrobial Resistance laboratory (AMR) at Murdoch University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proofErr w:type="gram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3.The</w:t>
      </w:r>
      <w:proofErr w:type="gram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Australian native fauna mitochondrial genome sequencing projects in collaboration with the Conservation and Wildlife group at Murdoch University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proofErr w:type="gram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4.The</w:t>
      </w:r>
      <w:proofErr w:type="gram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genome sequencing project ‘Genomic Encyclopaedia-Root Nodule Bacteria (GEBA-RNB)’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proofErr w:type="gram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5.Curating</w:t>
      </w:r>
      <w:proofErr w:type="gram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the Murdoch University </w:t>
      </w:r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Pseudomonas</w:t>
      </w: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 culture collection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proofErr w:type="gram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6.The</w:t>
      </w:r>
      <w:proofErr w:type="gram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validation of the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Hydrobe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® process (applied microbiology to produce hydrogen gas in a three staged bioreactor system) for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Hydrobe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Pty Ltd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br/>
        <w:t>Throughout my career I have upheld a high standard of work with peers, collaborators, and students. As a result I have built relationships with multiple scientific and government institutes such as the Institute for Immunology and Infectious Diseases, Joint Genome Institute, Anti-microbial research facility, Centre for Algal R&amp;D, Murdoch University, Curtin University, University of Western Australia, DPIRD, COGGO and Grains Research &amp; Development Corporation (GRDC). I have all the necessary skills and experience to meet all stipulated project outcomes.</w:t>
      </w:r>
    </w:p>
    <w:p w:rsidR="004C33A6" w:rsidRPr="004C33A6" w:rsidRDefault="004C33A6" w:rsidP="004C33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 w:rsidRPr="004C33A6"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Research Interests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My current research interests are in molecular biology for agricultural sciences, with a particular passion for multi-omics.</w:t>
      </w:r>
    </w:p>
    <w:p w:rsidR="004C33A6" w:rsidRPr="004C33A6" w:rsidRDefault="004C33A6" w:rsidP="004C33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 w:rsidRPr="004C33A6"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Current Project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A multi-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omic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approach towards understanding the fundamental nature of the canola-blackleg interaction and pathogenesis</w:t>
      </w:r>
    </w:p>
    <w:p w:rsidR="004C33A6" w:rsidRPr="004C33A6" w:rsidRDefault="004C33A6" w:rsidP="004C33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 w:rsidRPr="004C33A6"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Publications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proofErr w:type="gram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1.</w:t>
      </w:r>
      <w:r w:rsidRPr="004C33A6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Zandberg</w:t>
      </w:r>
      <w:proofErr w:type="gramEnd"/>
      <w:r w:rsidRPr="004C33A6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, JD.</w:t>
      </w: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 The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Queuosine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pathway is not essential for </w:t>
      </w:r>
      <w:proofErr w:type="spellStart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Ensifer</w:t>
      </w:r>
      <w:proofErr w:type="spellEnd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 </w:t>
      </w:r>
      <w:proofErr w:type="spellStart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medicae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 WSM419 symbiosis and certain components of this pathway modulate lipid biosynthesis. 2018. Honours Thesis (</w:t>
      </w:r>
      <w:hyperlink r:id="rId4" w:history="1">
        <w:r w:rsidRPr="004C33A6">
          <w:rPr>
            <w:rFonts w:ascii="Arial" w:eastAsia="Times New Roman" w:hAnsi="Arial" w:cs="Arial"/>
            <w:color w:val="3366BB"/>
            <w:sz w:val="21"/>
            <w:szCs w:val="21"/>
            <w:u w:val="single"/>
            <w:lang w:eastAsia="en-AU"/>
          </w:rPr>
          <w:t>https://researchrepository.murdoch.edu.au/id/eprint/41713/</w:t>
        </w:r>
      </w:hyperlink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)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2.Klonowaska, A., Moulin, L.,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Ardley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, J., Braun, F., </w:t>
      </w:r>
      <w:proofErr w:type="spellStart"/>
      <w:r w:rsidRPr="004C33A6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Zandberg</w:t>
      </w:r>
      <w:proofErr w:type="spellEnd"/>
      <w:r w:rsidRPr="004C33A6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, J.D</w:t>
      </w: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Gollagher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, M.,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Marinova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Huntemann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, M., Reddy, T.B.K., Varghese, N.,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Woyke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, T.,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Ivanova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Seshadri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, R.,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Kyrpdies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, N., Reeve, R. Characterisation of multiple heavy metal resistance loci in the genome of the novel species </w:t>
      </w:r>
      <w:proofErr w:type="spellStart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Cupriavidus</w:t>
      </w:r>
      <w:proofErr w:type="spellEnd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 </w:t>
      </w:r>
      <w:proofErr w:type="spellStart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neocaledonicus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 STM 6070, a nickel- and zinc-tolerant Mimosa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pudica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microsymbiont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isolated from mining site soil. 2020.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proofErr w:type="gram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lastRenderedPageBreak/>
        <w:t>3.</w:t>
      </w:r>
      <w:r w:rsidRPr="004C33A6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Zandberg</w:t>
      </w:r>
      <w:proofErr w:type="gramEnd"/>
      <w:r w:rsidRPr="004C33A6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, J.D.</w:t>
      </w: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, Reeve, G.R.,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McConnel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, S.M., Friend, A.J., Spencer, P.B.S. (2021). The complete mitochondrial genome of the vulnerable Australian Crest-tailed Mulgara (</w:t>
      </w:r>
      <w:proofErr w:type="spellStart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Dasycercus</w:t>
      </w:r>
      <w:proofErr w:type="spellEnd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 </w:t>
      </w:r>
      <w:proofErr w:type="spellStart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cristicauda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). Mitochondrial DNA Part B.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proofErr w:type="gram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4.</w:t>
      </w:r>
      <w:r w:rsidRPr="004C33A6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Zandberg</w:t>
      </w:r>
      <w:proofErr w:type="gramEnd"/>
      <w:r w:rsidRPr="004C33A6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, J.D</w:t>
      </w: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., Reeve, G.R.,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McConnel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, S.M., Friend, A.J., Spencer, P.B.S. (2021). The complete mitochondrial genome of the Australian Common Rock Rat </w:t>
      </w:r>
      <w:proofErr w:type="spellStart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Zyzomys</w:t>
      </w:r>
      <w:proofErr w:type="spellEnd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 </w:t>
      </w:r>
      <w:proofErr w:type="spellStart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argurus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. Mitochondrial DNA Part B.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proofErr w:type="gram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5.</w:t>
      </w:r>
      <w:r w:rsidRPr="004C33A6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Zandberg</w:t>
      </w:r>
      <w:proofErr w:type="gramEnd"/>
      <w:r w:rsidRPr="004C33A6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, J.D</w:t>
      </w: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., Reeve, G.R.,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McConnel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, S.M., Friend, A.J., Spencer, P.B.S. (2021). The complete mitochondrial genome of the Australian Ghost bat </w:t>
      </w:r>
      <w:proofErr w:type="spellStart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Macroderma</w:t>
      </w:r>
      <w:proofErr w:type="spellEnd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 </w:t>
      </w:r>
      <w:proofErr w:type="spellStart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gigas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. Mitochondrial DNA Part B.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6.Eardly, B., Osman, W.,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Ardley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, J., </w:t>
      </w:r>
      <w:proofErr w:type="spellStart"/>
      <w:r w:rsidRPr="004C33A6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Zandberg</w:t>
      </w:r>
      <w:proofErr w:type="spellEnd"/>
      <w:r w:rsidRPr="004C33A6">
        <w:rPr>
          <w:rFonts w:ascii="Arial" w:eastAsia="Times New Roman" w:hAnsi="Arial" w:cs="Arial"/>
          <w:b/>
          <w:bCs/>
          <w:color w:val="252525"/>
          <w:sz w:val="21"/>
          <w:szCs w:val="21"/>
          <w:lang w:eastAsia="en-AU"/>
        </w:rPr>
        <w:t>, J.D</w:t>
      </w: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Gollagher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, M., van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Berkum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, P., Elia, P.,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Marinova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, D.,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Seshadri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, R., Reddy, T.B.K., Markowitz, V.,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Ivanova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, N.,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Pati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, A.,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Woyke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, T.,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Kyrpides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, N., Reeve, W. The genome of the acid soil-adapted strain </w:t>
      </w:r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 xml:space="preserve">Rhizobium </w:t>
      </w:r>
      <w:proofErr w:type="spellStart"/>
      <w:r w:rsidRPr="004C33A6">
        <w:rPr>
          <w:rFonts w:ascii="Arial" w:eastAsia="Times New Roman" w:hAnsi="Arial" w:cs="Arial"/>
          <w:i/>
          <w:iCs/>
          <w:color w:val="252525"/>
          <w:sz w:val="21"/>
          <w:szCs w:val="21"/>
          <w:lang w:eastAsia="en-AU"/>
        </w:rPr>
        <w:t>favelukesii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 OR 191 encodes determinants for effective symbiotic interaction with both an IRLC and a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phaseoloid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legume host. 2021. (Not yet accepted)</w:t>
      </w:r>
    </w:p>
    <w:p w:rsidR="004C33A6" w:rsidRPr="004C33A6" w:rsidRDefault="004C33A6" w:rsidP="004C33A6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</w:pPr>
      <w:r w:rsidRPr="004C33A6">
        <w:rPr>
          <w:rFonts w:ascii="Georgia" w:eastAsia="Times New Roman" w:hAnsi="Georgia" w:cs="Times New Roman"/>
          <w:color w:val="000000"/>
          <w:sz w:val="36"/>
          <w:szCs w:val="36"/>
          <w:lang w:eastAsia="en-AU"/>
        </w:rPr>
        <w:t>Contact Details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Jaco</w:t>
      </w:r>
      <w:proofErr w:type="spellEnd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 xml:space="preserve"> D. </w:t>
      </w:r>
      <w:proofErr w:type="spellStart"/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Zandberg</w:t>
      </w:r>
      <w:proofErr w:type="spellEnd"/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Email jaco.zandberg@research.uwa.edu.au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Room 1.122, School of Biological Sciences, Faculty of Science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The University of Western Australia</w:t>
      </w:r>
    </w:p>
    <w:p w:rsidR="004C33A6" w:rsidRPr="004C33A6" w:rsidRDefault="004C33A6" w:rsidP="004C33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52525"/>
          <w:sz w:val="21"/>
          <w:szCs w:val="21"/>
          <w:lang w:eastAsia="en-AU"/>
        </w:rPr>
      </w:pPr>
      <w:r w:rsidRPr="004C33A6">
        <w:rPr>
          <w:rFonts w:ascii="Arial" w:eastAsia="Times New Roman" w:hAnsi="Arial" w:cs="Arial"/>
          <w:color w:val="252525"/>
          <w:sz w:val="21"/>
          <w:szCs w:val="21"/>
          <w:lang w:eastAsia="en-AU"/>
        </w:rPr>
        <w:t>Crawley, WA 6009, Perth, Australia</w:t>
      </w:r>
    </w:p>
    <w:p w:rsidR="002E225B" w:rsidRDefault="002E225B"/>
    <w:sectPr w:rsidR="002E2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A6"/>
    <w:rsid w:val="002E225B"/>
    <w:rsid w:val="004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839A"/>
  <w15:chartTrackingRefBased/>
  <w15:docId w15:val="{A9B9009A-A6EA-49AA-A84C-D645BD6B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C3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33A6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mw-headline">
    <w:name w:val="mw-headline"/>
    <w:basedOn w:val="DefaultParagraphFont"/>
    <w:rsid w:val="004C33A6"/>
  </w:style>
  <w:style w:type="paragraph" w:styleId="NormalWeb">
    <w:name w:val="Normal (Web)"/>
    <w:basedOn w:val="Normal"/>
    <w:uiPriority w:val="99"/>
    <w:semiHidden/>
    <w:unhideWhenUsed/>
    <w:rsid w:val="004C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C3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earchrepository.murdoch.edu.au/id/eprint/417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2022-01-28T01:48:00Z</dcterms:created>
  <dcterms:modified xsi:type="dcterms:W3CDTF">2022-01-28T01:49:00Z</dcterms:modified>
</cp:coreProperties>
</file>